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425" w:rsidRPr="00DD6425" w:rsidRDefault="00DD6425" w:rsidP="00DD6425">
      <w:pPr>
        <w:spacing w:after="0" w:line="240" w:lineRule="auto"/>
        <w:jc w:val="both"/>
        <w:outlineLvl w:val="0"/>
        <w:rPr>
          <w:rFonts w:eastAsia="Calibri" w:cs="Times New Roman"/>
          <w:szCs w:val="28"/>
          <w:u w:color="000000"/>
          <w:lang w:val="vi-VN"/>
        </w:rPr>
      </w:pPr>
      <w:bookmarkStart w:id="0" w:name="_Toc146465284"/>
      <w:bookmarkStart w:id="1" w:name="_Toc151380322"/>
      <w:r w:rsidRPr="00DD6425">
        <w:rPr>
          <w:rFonts w:eastAsia="Calibri" w:cs="Times New Roman"/>
          <w:b/>
          <w:sz w:val="24"/>
          <w:szCs w:val="24"/>
          <w:u w:color="000000"/>
          <w:lang w:val="vi-VN"/>
        </w:rPr>
        <w:t xml:space="preserve">TRƯỜNG THI, </w:t>
      </w:r>
      <w:r w:rsidRPr="00DD6425">
        <w:rPr>
          <w:rFonts w:eastAsia="Calibri" w:cs="Times New Roman"/>
          <w:szCs w:val="28"/>
          <w:u w:color="000000"/>
          <w:lang w:val="vi-VN"/>
        </w:rPr>
        <w:t>nơi tổ chức các kỳ thi hương tại một số địa phương thời phong kiến trước đây ở Việt Nam.</w:t>
      </w:r>
      <w:bookmarkEnd w:id="0"/>
      <w:bookmarkEnd w:id="1"/>
      <w:r w:rsidRPr="00DD6425">
        <w:rPr>
          <w:rFonts w:eastAsia="Calibri" w:cs="Times New Roman"/>
          <w:szCs w:val="28"/>
          <w:u w:color="000000"/>
          <w:lang w:val="vi-VN"/>
        </w:rPr>
        <w:t xml:space="preserve"> </w:t>
      </w:r>
    </w:p>
    <w:p w:rsidR="00DD6425" w:rsidRPr="00DD6425" w:rsidRDefault="00DD6425" w:rsidP="00DD6425">
      <w:pPr>
        <w:spacing w:after="0" w:line="240" w:lineRule="auto"/>
        <w:jc w:val="both"/>
        <w:rPr>
          <w:rFonts w:eastAsia="Calibri" w:cs="Times New Roman"/>
          <w:bCs/>
          <w:i/>
          <w:iCs/>
          <w:sz w:val="24"/>
          <w:szCs w:val="24"/>
          <w:u w:color="000000"/>
          <w:lang w:val="vi-VN"/>
        </w:rPr>
      </w:pPr>
      <w:r w:rsidRPr="00DD6425">
        <w:rPr>
          <w:rFonts w:eastAsia="Calibri" w:cs="Times New Roman"/>
          <w:szCs w:val="28"/>
          <w:u w:color="000000"/>
          <w:lang w:val="vi-VN"/>
        </w:rPr>
        <w:tab/>
        <w:t>Trong các triều đại phong kiến, hệ thống thi cử nhằm kén chọn người tài bao gồm ba kỳ thi: thi hương; thi hội; thi đình. Thi hương là kỳ thi ở địa phương, gồm một số tỉnh để chọn người đủ điều kiện vào dự thi hội, thi đình được tổ chức tập trung tại Kinh đô.</w:t>
      </w:r>
    </w:p>
    <w:p w:rsidR="00DD6425" w:rsidRPr="00DD6425" w:rsidRDefault="00DD6425" w:rsidP="00DD6425">
      <w:pPr>
        <w:spacing w:after="0" w:line="240" w:lineRule="auto"/>
        <w:ind w:firstLine="108"/>
        <w:jc w:val="both"/>
        <w:rPr>
          <w:rFonts w:eastAsia="Calibri" w:cs="Times New Roman"/>
          <w:szCs w:val="28"/>
          <w:u w:color="000000"/>
          <w:lang w:val="vi-VN"/>
        </w:rPr>
      </w:pPr>
      <w:r w:rsidRPr="00DD6425">
        <w:rPr>
          <w:rFonts w:eastAsia="Calibri" w:cs="Times New Roman"/>
          <w:szCs w:val="28"/>
          <w:u w:color="000000"/>
          <w:lang w:val="vi-VN"/>
        </w:rPr>
        <w:tab/>
        <w:t xml:space="preserve">Để tiến hành thi hương, Triều đình lập ra các TT tại một số tỉnh để những người đã vượt qua kỳ khảo hạch, (khóa sinh) đủ tư cách tham gia thi hương. Thời Nhà Nguyễn, TT được mở tại Hà Nội (gọi tắt là Trường Hà); tại Nam Định (Trường Nam); tại Thanh Hóa (Trường Thanh); tại Nghệ An (Trường Nghệ); tại Thừa Thiên - Huế (Trường Thừa); tại Bình Định (Trường Bình Định) Trường thi Gia Định dành cho sĩ tử các tỉnh Nam bộ. </w:t>
      </w:r>
    </w:p>
    <w:p w:rsidR="00DD6425" w:rsidRPr="00DD6425" w:rsidRDefault="00DD6425" w:rsidP="00DD6425">
      <w:pPr>
        <w:spacing w:after="0" w:line="240" w:lineRule="auto"/>
        <w:ind w:firstLine="108"/>
        <w:jc w:val="both"/>
        <w:rPr>
          <w:rFonts w:eastAsia="Calibri" w:cs="Times New Roman"/>
          <w:szCs w:val="28"/>
          <w:u w:color="000000"/>
          <w:lang w:val="vi-VN"/>
        </w:rPr>
      </w:pPr>
      <w:r w:rsidRPr="00DD6425">
        <w:rPr>
          <w:rFonts w:eastAsia="Calibri" w:cs="Times New Roman"/>
          <w:szCs w:val="28"/>
          <w:u w:color="000000"/>
          <w:lang w:val="vi-VN"/>
        </w:rPr>
        <w:tab/>
        <w:t>Thông thường, TT được xây dựng trên một khu đất rộng, được chia làm 4 khu vực (hay còn gọi là 4 vi): Giáp, Ât, Tả, Hữu, cắt theo hình chữ thập (+) Ở giữa là Thập đạo, dựng chòi canh để các quan trường giám sát các thí sinh ngồi thi. Hai bên tả, hữu dựng hai chòi để quan giám sát cả thí sinh lẫn quan trường. Mỗi cửa đốt hai cây đuốc lớn (gọi là đinh liệu) chiếu sáng cả trường thi. Xung quanh trường thi được rào hai lần: một phên kín, một phên thưa, đắp tường hào, cài chông và luôn có đội lính canh gác.</w:t>
      </w:r>
    </w:p>
    <w:p w:rsidR="00DD6425" w:rsidRPr="00DD6425" w:rsidRDefault="00DD6425" w:rsidP="00DD6425">
      <w:pPr>
        <w:spacing w:after="0" w:line="240" w:lineRule="auto"/>
        <w:ind w:firstLine="108"/>
        <w:jc w:val="both"/>
        <w:rPr>
          <w:rFonts w:eastAsia="Calibri" w:cs="Times New Roman"/>
          <w:szCs w:val="28"/>
          <w:u w:color="000000"/>
          <w:lang w:val="vi-VN"/>
        </w:rPr>
      </w:pPr>
      <w:r w:rsidRPr="00DD6425">
        <w:rPr>
          <w:rFonts w:eastAsia="Calibri" w:cs="Times New Roman"/>
          <w:szCs w:val="28"/>
          <w:u w:color="000000"/>
          <w:lang w:val="vi-VN"/>
        </w:rPr>
        <w:tab/>
        <w:t xml:space="preserve">Khoản 20 ngày trước khi thi, thí sinh phải nộp 3 tập giấy bản mới. Trang đầu </w:t>
      </w:r>
      <w:r w:rsidRPr="00DD6425">
        <w:rPr>
          <w:rFonts w:eastAsia="Calibri" w:cs="Times New Roman"/>
          <w:spacing w:val="-2"/>
          <w:szCs w:val="28"/>
          <w:u w:color="000000"/>
          <w:lang w:val="vi-VN"/>
        </w:rPr>
        <w:t xml:space="preserve">ghi các thông tin cần thiết về thí sinh như: Họ, tên, địa chỉ, nghề nghiệp của người dự thi... Hai ngày trước khi thi, thí sinh phải đến trường thi xem số báo danh để biết vị trí ngồi và cửa vào. Từ nửa đêm hôm trước ngày thi, mỗi thí sinh với bộ lều chõng, cổ đeo ống quyển, dầu (để thắp đèn), nước uống, vai mang tráp đựng thức ăn, đồ uống, đồ dùng cá nhân trực sẵn ở cửa trường thi. Sau 3 hồi trống, các quan Chánh chủ khảo, Phó chủ khảo và các quan giám thi vào các vị trí đã định. Quan lại phòng (giám thị) xướng danh cho thí sinh vào TT. Thí sinh tìm vị trí ngồi của mình, đóng lều, dựng chõng, mài mực đợi đề thi. Khi trời sáng rõ, đề thi được phát cho thí sinh làm bài thi. Vào buổi trưa, thí sinh nộp quyển vào nhà Thập đạo lấy dấu </w:t>
      </w:r>
      <w:r w:rsidRPr="00DD6425">
        <w:rPr>
          <w:rFonts w:eastAsia="Calibri" w:cs="Times New Roman"/>
          <w:iCs/>
          <w:spacing w:val="-2"/>
          <w:szCs w:val="28"/>
          <w:u w:color="000000"/>
          <w:lang w:val="vi-VN"/>
        </w:rPr>
        <w:t>nhập trung</w:t>
      </w:r>
      <w:r w:rsidRPr="00DD6425">
        <w:rPr>
          <w:rFonts w:eastAsia="Calibri" w:cs="Times New Roman"/>
          <w:i/>
          <w:iCs/>
          <w:spacing w:val="-2"/>
          <w:szCs w:val="28"/>
          <w:u w:color="000000"/>
          <w:lang w:val="vi-VN"/>
        </w:rPr>
        <w:t xml:space="preserve"> </w:t>
      </w:r>
      <w:r w:rsidRPr="00DD6425">
        <w:rPr>
          <w:rFonts w:eastAsia="Calibri" w:cs="Times New Roman"/>
          <w:spacing w:val="-2"/>
          <w:szCs w:val="28"/>
          <w:u w:color="000000"/>
          <w:lang w:val="vi-VN"/>
        </w:rPr>
        <w:t>và đến tối nộp quyển lại cho phòng đóng dấu của Hội đồng thi. Làm bài xong, thí sinh ra ngoài TT bằng cửa trước.</w:t>
      </w:r>
    </w:p>
    <w:p w:rsidR="00DD6425" w:rsidRPr="00DD6425" w:rsidRDefault="00DD6425" w:rsidP="00DD6425">
      <w:pPr>
        <w:spacing w:after="0" w:line="240" w:lineRule="auto"/>
        <w:ind w:firstLine="108"/>
        <w:jc w:val="both"/>
        <w:rPr>
          <w:rFonts w:eastAsia="Calibri" w:cs="Times New Roman"/>
          <w:i/>
          <w:iCs/>
          <w:szCs w:val="28"/>
          <w:u w:color="000000"/>
          <w:lang w:val="vi-VN"/>
        </w:rPr>
      </w:pPr>
      <w:r w:rsidRPr="00DD6425">
        <w:rPr>
          <w:rFonts w:eastAsia="Calibri" w:cs="Times New Roman"/>
          <w:szCs w:val="28"/>
          <w:u w:color="000000"/>
          <w:lang w:val="vi-VN"/>
        </w:rPr>
        <w:tab/>
        <w:t>Thi hương tổ chức tại các TT kéo dài theo 4 kỳ. Sĩ tử nào đỗ kỳ Đệ Nhất sẽ được vào thi kỳ Đệ Nhị, đỗ kỳ Đệ Nhị sẽ được vào thi kỳ Đệ Tam, đỗ kỳ Đệ Tam sẽ được vào thi kỳ Đệ Tứ. Thí sinh qua được 3 kỳ thi đầu thì đỗ Sinh đồ (tức Tú tài).Thí sinh đỗ kỳ thi Đệ Tứ được gọi là Hương cống (tức Cử nhân.</w:t>
      </w:r>
      <w:r w:rsidRPr="00DD6425">
        <w:rPr>
          <w:rFonts w:eastAsia="Calibri" w:cs="Times New Roman"/>
          <w:iCs/>
          <w:szCs w:val="28"/>
          <w:u w:color="000000"/>
          <w:lang w:val="vi-VN"/>
        </w:rPr>
        <w:t xml:space="preserve"> Đỗ đầu thi Hương gọi là Giải nguyên</w:t>
      </w:r>
    </w:p>
    <w:p w:rsidR="00DD6425" w:rsidRPr="00DD6425" w:rsidRDefault="00DD6425" w:rsidP="00DD6425">
      <w:pPr>
        <w:spacing w:after="0" w:line="240" w:lineRule="auto"/>
        <w:ind w:firstLine="108"/>
        <w:jc w:val="both"/>
        <w:rPr>
          <w:rFonts w:eastAsia="Calibri" w:cs="Times New Roman"/>
          <w:szCs w:val="28"/>
          <w:u w:color="000000"/>
          <w:lang w:val="vi-VN"/>
        </w:rPr>
      </w:pPr>
      <w:r w:rsidRPr="00DD6425">
        <w:rPr>
          <w:rFonts w:eastAsia="Calibri" w:cs="Times New Roman"/>
          <w:szCs w:val="28"/>
          <w:u w:color="000000"/>
          <w:lang w:val="vi-VN"/>
        </w:rPr>
        <w:tab/>
        <w:t>Người đỗ Tú tài không được Triều đình bổ dụng, nhưng đối với làng, xã trong Tổng thì địa vị của Tú tài được thăng hạng từ thứ dân lên hạng chức sắc, có chân trong Hội đồng Kỳ mục, được miễn sưu dịch và khi có sự kiện trong làng được ngồi chiếu trên. Người đỗ Hương cống thì ngoài việc được phép dự thi Hội, còn được bổ nhiệm làm quan trong những ngạch thuộc cửu phẩm, được Vua ban áo, mũ và làng xã phải nghênh đón vinh quy.</w:t>
      </w:r>
    </w:p>
    <w:p w:rsidR="00DD6425" w:rsidRPr="00DD6425" w:rsidRDefault="00DD6425" w:rsidP="00DD6425">
      <w:pPr>
        <w:spacing w:after="0" w:line="240" w:lineRule="auto"/>
        <w:ind w:firstLine="108"/>
        <w:jc w:val="right"/>
        <w:rPr>
          <w:rFonts w:eastAsia="Calibri" w:cs="Times New Roman"/>
          <w:b/>
          <w:bCs/>
          <w:sz w:val="24"/>
          <w:szCs w:val="24"/>
          <w:u w:color="000000"/>
          <w:lang w:val="vi-VN"/>
        </w:rPr>
      </w:pPr>
      <w:r w:rsidRPr="00DD6425">
        <w:rPr>
          <w:rFonts w:eastAsia="Calibri" w:cs="Times New Roman"/>
          <w:u w:color="000000"/>
          <w:lang w:val="vi-VN"/>
        </w:rPr>
        <w:t xml:space="preserve">                                                              </w:t>
      </w:r>
      <w:r w:rsidRPr="00DD6425">
        <w:rPr>
          <w:rFonts w:eastAsia="Calibri" w:cs="Times New Roman"/>
          <w:b/>
          <w:bCs/>
          <w:sz w:val="24"/>
          <w:szCs w:val="24"/>
          <w:u w:color="000000"/>
          <w:lang w:val="vi-VN"/>
        </w:rPr>
        <w:t>LÊ MINH THÔNG</w:t>
      </w:r>
    </w:p>
    <w:p w:rsidR="00DD6425" w:rsidRPr="00DD6425" w:rsidRDefault="00DD6425" w:rsidP="00DD6425">
      <w:pPr>
        <w:spacing w:after="0" w:line="240" w:lineRule="auto"/>
        <w:jc w:val="both"/>
        <w:rPr>
          <w:rFonts w:eastAsia="Calibri" w:cs="Times New Roman"/>
          <w:b/>
          <w:sz w:val="24"/>
          <w:szCs w:val="24"/>
          <w:u w:color="000000"/>
          <w:lang w:val="vi-VN"/>
        </w:rPr>
      </w:pPr>
      <w:r w:rsidRPr="00DD6425">
        <w:rPr>
          <w:rFonts w:eastAsia="Calibri" w:cs="Times New Roman"/>
          <w:b/>
          <w:sz w:val="24"/>
          <w:szCs w:val="24"/>
          <w:u w:color="000000"/>
          <w:lang w:val="vi-VN"/>
        </w:rPr>
        <w:t xml:space="preserve">Tài liệu tham khảo: </w:t>
      </w:r>
    </w:p>
    <w:p w:rsidR="00DD6425" w:rsidRPr="00DD6425" w:rsidRDefault="00DD6425" w:rsidP="00DD6425">
      <w:pPr>
        <w:spacing w:after="0" w:line="240" w:lineRule="auto"/>
        <w:jc w:val="both"/>
        <w:rPr>
          <w:rFonts w:eastAsia="Calibri" w:cs="Times New Roman"/>
          <w:sz w:val="24"/>
          <w:szCs w:val="24"/>
          <w:u w:color="000000"/>
          <w:lang w:val="vi-VN"/>
        </w:rPr>
      </w:pPr>
      <w:r w:rsidRPr="00DD6425">
        <w:rPr>
          <w:rFonts w:eastAsia="Calibri" w:cs="Times New Roman"/>
          <w:sz w:val="24"/>
          <w:szCs w:val="24"/>
          <w:u w:color="000000"/>
          <w:lang w:val="vi-VN"/>
        </w:rPr>
        <w:lastRenderedPageBreak/>
        <w:t xml:space="preserve">1. Cao Xuân Dục, </w:t>
      </w:r>
      <w:r w:rsidRPr="00DD6425">
        <w:rPr>
          <w:rFonts w:eastAsia="Calibri" w:cs="Times New Roman"/>
          <w:i/>
          <w:iCs/>
          <w:sz w:val="24"/>
          <w:szCs w:val="24"/>
          <w:u w:color="000000"/>
          <w:lang w:val="vi-VN"/>
        </w:rPr>
        <w:t>Quốc triều Hương khoa lục</w:t>
      </w:r>
      <w:r w:rsidRPr="00DD6425">
        <w:rPr>
          <w:rFonts w:eastAsia="Calibri" w:cs="Times New Roman"/>
          <w:sz w:val="24"/>
          <w:szCs w:val="24"/>
          <w:u w:color="000000"/>
          <w:lang w:val="vi-VN"/>
        </w:rPr>
        <w:t>, Nxb. Thành phố Hồ Chí Minh, Thành phố Hồ Chí Minh, 1993.</w:t>
      </w:r>
    </w:p>
    <w:p w:rsidR="00DD6425" w:rsidRPr="00DD6425" w:rsidRDefault="00DD6425" w:rsidP="00DD6425">
      <w:pPr>
        <w:spacing w:after="0" w:line="240" w:lineRule="auto"/>
        <w:jc w:val="both"/>
        <w:rPr>
          <w:rFonts w:eastAsia="Calibri" w:cs="Times New Roman"/>
          <w:sz w:val="24"/>
          <w:szCs w:val="24"/>
          <w:u w:color="000000"/>
          <w:lang w:val="vi-VN"/>
        </w:rPr>
      </w:pPr>
      <w:r w:rsidRPr="00DD6425">
        <w:rPr>
          <w:rFonts w:eastAsia="Calibri" w:cs="Times New Roman"/>
          <w:sz w:val="24"/>
          <w:szCs w:val="24"/>
          <w:u w:color="000000"/>
          <w:lang w:val="vi-VN"/>
        </w:rPr>
        <w:t xml:space="preserve">2. </w:t>
      </w:r>
      <w:r w:rsidRPr="00DD6425">
        <w:rPr>
          <w:rFonts w:eastAsia="Calibri" w:cs="Times New Roman"/>
          <w:i/>
          <w:iCs/>
          <w:sz w:val="24"/>
          <w:szCs w:val="24"/>
          <w:u w:color="000000"/>
          <w:lang w:val="vi-VN"/>
        </w:rPr>
        <w:t>Đại Nam Thực Lục</w:t>
      </w:r>
      <w:r w:rsidRPr="00DD6425">
        <w:rPr>
          <w:rFonts w:eastAsia="Calibri" w:cs="Times New Roman"/>
          <w:sz w:val="24"/>
          <w:szCs w:val="24"/>
          <w:u w:color="000000"/>
          <w:lang w:val="vi-VN"/>
        </w:rPr>
        <w:t>, Tập IV; Tập VI. Nxb. Giáo dục, Hà Nội, 2007.</w:t>
      </w:r>
    </w:p>
    <w:p w:rsidR="00DD6425" w:rsidRPr="00DD6425" w:rsidRDefault="00DD6425" w:rsidP="00DD6425">
      <w:pPr>
        <w:spacing w:after="0" w:line="240" w:lineRule="auto"/>
        <w:jc w:val="both"/>
        <w:rPr>
          <w:rFonts w:eastAsia="Calibri" w:cs="Times New Roman"/>
          <w:sz w:val="24"/>
          <w:szCs w:val="24"/>
          <w:u w:color="000000"/>
          <w:lang w:val="vi-VN"/>
        </w:rPr>
      </w:pPr>
      <w:r w:rsidRPr="00DD6425">
        <w:rPr>
          <w:rFonts w:eastAsia="Calibri" w:cs="Times New Roman"/>
          <w:sz w:val="24"/>
          <w:szCs w:val="24"/>
          <w:u w:color="000000"/>
          <w:lang w:val="vi-VN"/>
        </w:rPr>
        <w:t xml:space="preserve">3. Trịnh Hoành, </w:t>
      </w:r>
      <w:r w:rsidRPr="00DD6425">
        <w:rPr>
          <w:rFonts w:eastAsia="Calibri" w:cs="Times New Roman"/>
          <w:i/>
          <w:iCs/>
          <w:sz w:val="24"/>
          <w:szCs w:val="24"/>
          <w:u w:color="000000"/>
          <w:lang w:val="vi-VN"/>
        </w:rPr>
        <w:t>Tìm hiểu về Giáo dục và Khoa cử thời xưa</w:t>
      </w:r>
      <w:r w:rsidRPr="00DD6425">
        <w:rPr>
          <w:rFonts w:eastAsia="Calibri" w:cs="Times New Roman"/>
          <w:sz w:val="24"/>
          <w:szCs w:val="24"/>
          <w:u w:color="000000"/>
          <w:lang w:val="vi-VN"/>
        </w:rPr>
        <w:t>, Nxb. Hồng Đức, Hà Nội, 2014.</w:t>
      </w:r>
    </w:p>
    <w:p w:rsidR="00DD6425" w:rsidRPr="00DD6425" w:rsidRDefault="00DD6425" w:rsidP="00DD6425">
      <w:pPr>
        <w:tabs>
          <w:tab w:val="left" w:pos="108"/>
        </w:tabs>
        <w:spacing w:after="0" w:line="240" w:lineRule="auto"/>
        <w:jc w:val="both"/>
        <w:rPr>
          <w:rFonts w:eastAsia="Calibri" w:cs="Times New Roman"/>
          <w:sz w:val="24"/>
          <w:szCs w:val="24"/>
          <w:u w:color="000000"/>
          <w:lang w:val="vi-VN"/>
        </w:rPr>
      </w:pPr>
      <w:r w:rsidRPr="00DD6425">
        <w:rPr>
          <w:rFonts w:eastAsia="Calibri" w:cs="Times New Roman"/>
          <w:sz w:val="24"/>
          <w:szCs w:val="24"/>
          <w:u w:color="000000"/>
          <w:lang w:val="vi-VN"/>
        </w:rPr>
        <w:t xml:space="preserve">4. Nguyễn Duy Mền (chủ biên), </w:t>
      </w:r>
      <w:r w:rsidRPr="00DD6425">
        <w:rPr>
          <w:rFonts w:eastAsia="Calibri" w:cs="Times New Roman"/>
          <w:i/>
          <w:iCs/>
          <w:sz w:val="24"/>
          <w:szCs w:val="24"/>
          <w:u w:color="000000"/>
          <w:lang w:val="vi-VN"/>
        </w:rPr>
        <w:t>Lịch sử Giáo dục Việt Nam từ thế kỷ X đến 1858</w:t>
      </w:r>
      <w:r w:rsidRPr="00DD6425">
        <w:rPr>
          <w:rFonts w:eastAsia="Calibri" w:cs="Times New Roman"/>
          <w:sz w:val="24"/>
          <w:szCs w:val="24"/>
          <w:u w:color="000000"/>
          <w:lang w:val="vi-VN"/>
        </w:rPr>
        <w:t>, Nxb. Khoa học Xã hội, Hà Nội, 2020.</w:t>
      </w:r>
    </w:p>
    <w:p w:rsidR="00F3618D" w:rsidRDefault="00F3618D">
      <w:bookmarkStart w:id="2" w:name="_GoBack"/>
      <w:bookmarkEnd w:id="2"/>
    </w:p>
    <w:sectPr w:rsidR="00F3618D" w:rsidSect="0090568D">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425"/>
    <w:rsid w:val="002133F0"/>
    <w:rsid w:val="004B574E"/>
    <w:rsid w:val="00775E1E"/>
    <w:rsid w:val="0090568D"/>
    <w:rsid w:val="00B93CAB"/>
    <w:rsid w:val="00DD6425"/>
    <w:rsid w:val="00F3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AF157-2C50-4B85-AEA7-5D254027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Thu Huyen</cp:lastModifiedBy>
  <cp:revision>1</cp:revision>
  <dcterms:created xsi:type="dcterms:W3CDTF">2025-12-08T07:21:00Z</dcterms:created>
  <dcterms:modified xsi:type="dcterms:W3CDTF">2025-12-08T07:21:00Z</dcterms:modified>
</cp:coreProperties>
</file>